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8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附件1</w:t>
      </w:r>
    </w:p>
    <w:tbl>
      <w:tblPr>
        <w:tblStyle w:val="5"/>
        <w:tblpPr w:leftFromText="180" w:rightFromText="180" w:vertAnchor="text" w:horzAnchor="page" w:tblpX="1807" w:tblpY="8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116"/>
        <w:gridCol w:w="2662"/>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0"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415"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562"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报价（下浮率，%）</w:t>
            </w:r>
          </w:p>
        </w:tc>
        <w:tc>
          <w:tcPr>
            <w:tcW w:w="52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0"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415"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白银盛银资产运营集团有限公司项目咨询服务单位入围项目</w:t>
            </w:r>
          </w:p>
        </w:tc>
        <w:tc>
          <w:tcPr>
            <w:tcW w:w="1562"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0" w:type="pct"/>
            <w:vAlign w:val="center"/>
          </w:tcPr>
          <w:p>
            <w:pPr>
              <w:jc w:val="center"/>
              <w:rPr>
                <w:rFonts w:hint="eastAsia" w:ascii="宋体" w:hAnsi="宋体" w:eastAsia="宋体" w:cs="宋体"/>
                <w:sz w:val="24"/>
                <w:szCs w:val="24"/>
                <w:vertAlign w:val="baseline"/>
                <w:lang w:val="en-US" w:eastAsia="zh-CN"/>
              </w:rPr>
            </w:pPr>
          </w:p>
        </w:tc>
        <w:tc>
          <w:tcPr>
            <w:tcW w:w="2415" w:type="pct"/>
            <w:vAlign w:val="center"/>
          </w:tcPr>
          <w:p>
            <w:pPr>
              <w:jc w:val="center"/>
              <w:rPr>
                <w:rFonts w:hint="eastAsia" w:ascii="宋体" w:hAnsi="宋体" w:eastAsia="宋体" w:cs="宋体"/>
                <w:sz w:val="24"/>
                <w:szCs w:val="24"/>
                <w:vertAlign w:val="baseline"/>
                <w:lang w:val="en-US" w:eastAsia="zh-CN"/>
              </w:rPr>
            </w:pPr>
          </w:p>
        </w:tc>
        <w:tc>
          <w:tcPr>
            <w:tcW w:w="1562"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bCs w:val="0"/>
          <w:color w:val="000000"/>
          <w:sz w:val="36"/>
          <w:szCs w:val="36"/>
          <w:lang w:val="en-US" w:eastAsia="zh-CN"/>
        </w:rPr>
        <w:t>首  轮  报  价  表</w:t>
      </w:r>
    </w:p>
    <w:p>
      <w:pPr>
        <w:rPr>
          <w:rFonts w:hint="default"/>
          <w:lang w:val="en-US" w:eastAsia="zh-CN"/>
        </w:rPr>
      </w:pPr>
    </w:p>
    <w:p>
      <w:pPr>
        <w:pStyle w:val="2"/>
        <w:rPr>
          <w:rFonts w:hint="default"/>
          <w:lang w:val="en-US" w:eastAsia="zh-CN"/>
        </w:rPr>
      </w:pPr>
    </w:p>
    <w:p>
      <w:pPr>
        <w:adjustRightInd w:val="0"/>
        <w:snapToGrid w:val="0"/>
        <w:spacing w:line="480" w:lineRule="auto"/>
        <w:ind w:firstLine="3080" w:firstLineChars="11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报价</w:t>
      </w:r>
      <w:r>
        <w:rPr>
          <w:rFonts w:hint="eastAsia" w:ascii="宋体" w:hAnsi="宋体" w:eastAsia="宋体" w:cs="宋体"/>
          <w:sz w:val="28"/>
          <w:szCs w:val="28"/>
        </w:rPr>
        <w:t>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360" w:firstLineChars="12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lang w:eastAsia="zh-CN"/>
        </w:rPr>
        <w:t>报价</w:t>
      </w:r>
      <w:r>
        <w:rPr>
          <w:rFonts w:hint="eastAsia" w:ascii="宋体" w:hAnsi="宋体" w:eastAsia="宋体" w:cs="宋体"/>
          <w:sz w:val="28"/>
          <w:szCs w:val="28"/>
        </w:rPr>
        <w:t xml:space="preserve">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附件2</w:t>
      </w:r>
    </w:p>
    <w:tbl>
      <w:tblPr>
        <w:tblStyle w:val="5"/>
        <w:tblpPr w:leftFromText="180" w:rightFromText="180" w:vertAnchor="text" w:horzAnchor="page" w:tblpX="1807" w:tblpY="8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4129"/>
        <w:gridCol w:w="264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423"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554"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报价（下浮率，%）</w:t>
            </w:r>
          </w:p>
        </w:tc>
        <w:tc>
          <w:tcPr>
            <w:tcW w:w="52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423"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白银盛银资产运营集团有限公司项目咨询服务单位入围项目</w:t>
            </w:r>
          </w:p>
        </w:tc>
        <w:tc>
          <w:tcPr>
            <w:tcW w:w="1554"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4"/>
                <w:szCs w:val="24"/>
                <w:vertAlign w:val="baseline"/>
                <w:lang w:val="en-US" w:eastAsia="zh-CN"/>
              </w:rPr>
            </w:pPr>
          </w:p>
        </w:tc>
        <w:tc>
          <w:tcPr>
            <w:tcW w:w="2423" w:type="pct"/>
            <w:vAlign w:val="center"/>
          </w:tcPr>
          <w:p>
            <w:pPr>
              <w:jc w:val="center"/>
              <w:rPr>
                <w:rFonts w:hint="eastAsia" w:ascii="宋体" w:hAnsi="宋体" w:eastAsia="宋体" w:cs="宋体"/>
                <w:sz w:val="24"/>
                <w:szCs w:val="24"/>
                <w:vertAlign w:val="baseline"/>
                <w:lang w:val="en-US" w:eastAsia="zh-CN"/>
              </w:rPr>
            </w:pPr>
          </w:p>
        </w:tc>
        <w:tc>
          <w:tcPr>
            <w:tcW w:w="1554"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bCs w:val="0"/>
          <w:color w:val="000000"/>
          <w:sz w:val="36"/>
          <w:szCs w:val="36"/>
          <w:lang w:val="en-US" w:eastAsia="zh-CN"/>
        </w:rPr>
        <w:t>二  轮  报  价  表</w:t>
      </w:r>
    </w:p>
    <w:p>
      <w:pPr>
        <w:rPr>
          <w:rFonts w:hint="default"/>
          <w:lang w:val="en-US" w:eastAsia="zh-CN"/>
        </w:rPr>
      </w:pPr>
    </w:p>
    <w:p>
      <w:pPr>
        <w:pStyle w:val="2"/>
        <w:rPr>
          <w:rFonts w:hint="default"/>
          <w:lang w:val="en-US" w:eastAsia="zh-CN"/>
        </w:rPr>
      </w:pPr>
    </w:p>
    <w:p>
      <w:pPr>
        <w:adjustRightInd w:val="0"/>
        <w:snapToGrid w:val="0"/>
        <w:spacing w:line="480" w:lineRule="auto"/>
        <w:ind w:firstLine="3080" w:firstLineChars="11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报价</w:t>
      </w:r>
      <w:r>
        <w:rPr>
          <w:rFonts w:hint="eastAsia" w:ascii="宋体" w:hAnsi="宋体" w:eastAsia="宋体" w:cs="宋体"/>
          <w:sz w:val="28"/>
          <w:szCs w:val="28"/>
        </w:rPr>
        <w:t>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360" w:firstLineChars="12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highlight w:val="none"/>
          <w:lang w:eastAsia="zh-CN"/>
        </w:rPr>
        <w:t>报价</w:t>
      </w:r>
      <w:r>
        <w:rPr>
          <w:rFonts w:hint="eastAsia" w:ascii="宋体" w:hAnsi="宋体" w:eastAsia="宋体" w:cs="宋体"/>
          <w:sz w:val="28"/>
          <w:szCs w:val="28"/>
          <w:highlight w:val="none"/>
        </w:rPr>
        <w:t>时间：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附件3</w:t>
      </w:r>
    </w:p>
    <w:p>
      <w:pPr>
        <w:autoSpaceDE w:val="0"/>
        <w:autoSpaceDN w:val="0"/>
        <w:adjustRightInd w:val="0"/>
        <w:snapToGrid w:val="0"/>
        <w:spacing w:line="480" w:lineRule="auto"/>
        <w:jc w:val="center"/>
        <w:rPr>
          <w:rFonts w:hint="eastAsia" w:ascii="宋体" w:hAnsi="宋体" w:eastAsia="宋体" w:cs="宋体"/>
          <w:b w:val="0"/>
          <w:bCs/>
          <w:sz w:val="28"/>
          <w:szCs w:val="28"/>
        </w:rPr>
      </w:pPr>
      <w:r>
        <w:rPr>
          <w:rFonts w:hint="eastAsia" w:ascii="宋体" w:hAnsi="宋体" w:eastAsia="宋体" w:cs="宋体"/>
          <w:b/>
          <w:bCs w:val="0"/>
          <w:color w:val="000000"/>
          <w:sz w:val="36"/>
          <w:szCs w:val="36"/>
          <w:lang w:val="zh-CN"/>
        </w:rPr>
        <w:t xml:space="preserve">响  </w:t>
      </w:r>
      <w:r>
        <w:rPr>
          <w:rFonts w:hint="eastAsia" w:ascii="宋体" w:hAnsi="宋体" w:eastAsia="宋体" w:cs="宋体"/>
          <w:b/>
          <w:bCs w:val="0"/>
          <w:color w:val="000000"/>
          <w:sz w:val="36"/>
          <w:szCs w:val="36"/>
        </w:rPr>
        <w:t xml:space="preserve"> </w:t>
      </w:r>
      <w:r>
        <w:rPr>
          <w:rFonts w:hint="eastAsia" w:ascii="宋体" w:hAnsi="宋体" w:eastAsia="宋体" w:cs="宋体"/>
          <w:b/>
          <w:bCs w:val="0"/>
          <w:color w:val="000000"/>
          <w:sz w:val="36"/>
          <w:szCs w:val="36"/>
          <w:lang w:val="zh-CN"/>
        </w:rPr>
        <w:t xml:space="preserve">应  </w:t>
      </w:r>
      <w:r>
        <w:rPr>
          <w:rFonts w:hint="eastAsia" w:ascii="宋体" w:hAnsi="宋体" w:eastAsia="宋体" w:cs="宋体"/>
          <w:b/>
          <w:bCs w:val="0"/>
          <w:color w:val="000000"/>
          <w:sz w:val="36"/>
          <w:szCs w:val="36"/>
        </w:rPr>
        <w:t xml:space="preserve"> </w:t>
      </w:r>
      <w:r>
        <w:rPr>
          <w:rFonts w:hint="eastAsia" w:ascii="宋体" w:hAnsi="宋体" w:eastAsia="宋体" w:cs="宋体"/>
          <w:b/>
          <w:bCs w:val="0"/>
          <w:color w:val="000000"/>
          <w:sz w:val="36"/>
          <w:szCs w:val="36"/>
          <w:lang w:val="zh-CN"/>
        </w:rPr>
        <w:t>函</w:t>
      </w:r>
    </w:p>
    <w:p>
      <w:pPr>
        <w:pStyle w:val="2"/>
        <w:pageBreakBefore w:val="0"/>
        <w:widowControl/>
        <w:kinsoku/>
        <w:wordWrap/>
        <w:overflowPunct/>
        <w:topLinePunct w:val="0"/>
        <w:autoSpaceDE/>
        <w:autoSpaceDN/>
        <w:bidi w:val="0"/>
        <w:adjustRightInd/>
        <w:spacing w:before="0" w:line="700" w:lineRule="exact"/>
        <w:jc w:val="both"/>
        <w:textAlignment w:val="auto"/>
        <w:rPr>
          <w:rFonts w:hint="eastAsia" w:ascii="宋体" w:hAnsi="宋体" w:eastAsia="宋体" w:cs="宋体"/>
          <w:b w:val="0"/>
          <w:bCs w:val="0"/>
          <w:color w:val="auto"/>
          <w:kern w:val="2"/>
          <w:sz w:val="28"/>
          <w:szCs w:val="28"/>
          <w:u w:val="none"/>
          <w:lang w:val="en-US" w:eastAsia="zh-CN" w:bidi="ar-SA"/>
        </w:rPr>
      </w:pPr>
      <w:r>
        <w:rPr>
          <w:rFonts w:hint="eastAsia" w:ascii="宋体" w:hAnsi="宋体" w:eastAsia="宋体" w:cs="宋体"/>
          <w:b w:val="0"/>
          <w:bCs w:val="0"/>
          <w:color w:val="auto"/>
          <w:kern w:val="2"/>
          <w:sz w:val="28"/>
          <w:szCs w:val="28"/>
          <w:u w:val="none"/>
          <w:lang w:val="en-US" w:eastAsia="zh-CN" w:bidi="ar-SA"/>
        </w:rPr>
        <w:t>致：白银盛银资产运营集团有限公司</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我公司已收到贵单位的采购邀请函，我单位经认真准备，决定响应本次采购。我方愿承担该项目的</w:t>
      </w:r>
      <w:r>
        <w:rPr>
          <w:rFonts w:hint="eastAsia" w:ascii="宋体" w:hAnsi="宋体" w:eastAsia="宋体" w:cs="宋体"/>
          <w:sz w:val="28"/>
          <w:szCs w:val="28"/>
          <w:lang w:eastAsia="zh-CN"/>
        </w:rPr>
        <w:t>采购</w:t>
      </w:r>
      <w:r>
        <w:rPr>
          <w:rFonts w:hint="eastAsia" w:ascii="宋体" w:hAnsi="宋体" w:eastAsia="宋体" w:cs="宋体"/>
          <w:sz w:val="28"/>
          <w:szCs w:val="28"/>
        </w:rPr>
        <w:t>和售后服务，履行邀请函中对响应单位要求应承担的责任和义务。我方郑重</w:t>
      </w:r>
      <w:r>
        <w:rPr>
          <w:rFonts w:hint="eastAsia" w:ascii="宋体" w:hAnsi="宋体" w:eastAsia="宋体" w:cs="宋体"/>
          <w:sz w:val="28"/>
          <w:szCs w:val="28"/>
          <w:lang w:eastAsia="zh-CN"/>
        </w:rPr>
        <w:t>作出</w:t>
      </w:r>
      <w:r>
        <w:rPr>
          <w:rFonts w:hint="eastAsia" w:ascii="宋体" w:hAnsi="宋体" w:eastAsia="宋体" w:cs="宋体"/>
          <w:sz w:val="28"/>
          <w:szCs w:val="28"/>
        </w:rPr>
        <w:t>如下声明：</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我方完全按规定履行责任和义务，并同意本项目之</w:t>
      </w:r>
      <w:r>
        <w:rPr>
          <w:rFonts w:hint="eastAsia" w:ascii="宋体" w:hAnsi="宋体" w:eastAsia="宋体" w:cs="宋体"/>
          <w:sz w:val="28"/>
          <w:szCs w:val="28"/>
          <w:lang w:val="en-US" w:eastAsia="zh-CN"/>
        </w:rPr>
        <w:t>其他规定</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我方已详细审查邀请函</w:t>
      </w:r>
      <w:r>
        <w:rPr>
          <w:rFonts w:hint="eastAsia" w:ascii="宋体" w:hAnsi="宋体" w:eastAsia="宋体" w:cs="宋体"/>
          <w:sz w:val="28"/>
          <w:szCs w:val="28"/>
          <w:lang w:val="en-US" w:eastAsia="zh-CN"/>
        </w:rPr>
        <w:t>全部内容</w:t>
      </w:r>
      <w:r>
        <w:rPr>
          <w:rFonts w:hint="eastAsia" w:ascii="宋体" w:hAnsi="宋体" w:eastAsia="宋体" w:cs="宋体"/>
          <w:sz w:val="28"/>
          <w:szCs w:val="28"/>
        </w:rPr>
        <w:t>，无其</w:t>
      </w:r>
      <w:r>
        <w:rPr>
          <w:rFonts w:hint="eastAsia" w:ascii="宋体" w:hAnsi="宋体" w:eastAsia="宋体" w:cs="宋体"/>
          <w:sz w:val="28"/>
          <w:szCs w:val="28"/>
          <w:lang w:val="en-US" w:eastAsia="zh-CN"/>
        </w:rPr>
        <w:t>他</w:t>
      </w:r>
      <w:r>
        <w:rPr>
          <w:rFonts w:hint="eastAsia" w:ascii="宋体" w:hAnsi="宋体" w:eastAsia="宋体" w:cs="宋体"/>
          <w:sz w:val="28"/>
          <w:szCs w:val="28"/>
        </w:rPr>
        <w:t>不明事项。</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我方同意提供贵方可能要求的与响应有关的任何证据资料。</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如果我方响应，我方将按要求签订、履行合同，承担责任、义务。</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我方同意所递交的响应文件在</w:t>
      </w:r>
      <w:r>
        <w:rPr>
          <w:rFonts w:hint="eastAsia" w:ascii="宋体" w:hAnsi="宋体" w:eastAsia="宋体" w:cs="宋体"/>
          <w:sz w:val="28"/>
          <w:szCs w:val="28"/>
          <w:lang w:val="en-US" w:eastAsia="zh-CN"/>
        </w:rPr>
        <w:t>10</w:t>
      </w:r>
      <w:r>
        <w:rPr>
          <w:rFonts w:hint="eastAsia" w:ascii="宋体" w:hAnsi="宋体" w:eastAsia="宋体" w:cs="宋体"/>
          <w:sz w:val="28"/>
          <w:szCs w:val="28"/>
        </w:rPr>
        <w:t>天的响应有效期内有效，在此期间我方将受此约束。</w:t>
      </w: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360" w:lineRule="auto"/>
        <w:rPr>
          <w:rFonts w:hint="eastAsia" w:ascii="宋体" w:hAnsi="宋体" w:eastAsia="宋体" w:cs="宋体"/>
          <w:sz w:val="28"/>
          <w:szCs w:val="28"/>
        </w:rPr>
      </w:pPr>
    </w:p>
    <w:p>
      <w:pPr>
        <w:pStyle w:val="2"/>
        <w:rPr>
          <w:rFonts w:hint="eastAsia"/>
        </w:rPr>
      </w:pP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480" w:lineRule="auto"/>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080" w:firstLineChars="11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rPr>
        <w:t xml:space="preserve">响应时间：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default" w:ascii="宋体" w:hAnsi="宋体" w:eastAsia="宋体" w:cs="宋体"/>
          <w:b w:val="0"/>
          <w:bCs/>
          <w:color w:val="000000"/>
          <w:sz w:val="28"/>
          <w:szCs w:val="28"/>
          <w:highlight w:val="magenta"/>
          <w:lang w:val="en-US" w:eastAsia="zh-CN"/>
        </w:rPr>
      </w:pPr>
      <w:r>
        <w:rPr>
          <w:rFonts w:hint="eastAsia" w:ascii="宋体" w:hAnsi="宋体" w:eastAsia="宋体" w:cs="宋体"/>
          <w:b w:val="0"/>
          <w:bCs/>
          <w:color w:val="000000"/>
          <w:sz w:val="28"/>
          <w:szCs w:val="28"/>
          <w:lang w:val="en-US" w:eastAsia="zh-CN"/>
        </w:rPr>
        <w:t>附件4：</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val="0"/>
          <w:bCs/>
          <w:sz w:val="28"/>
          <w:szCs w:val="28"/>
          <w:highlight w:val="none"/>
        </w:rPr>
      </w:pPr>
      <w:r>
        <w:rPr>
          <w:rFonts w:hint="eastAsia" w:ascii="宋体" w:hAnsi="宋体" w:eastAsia="宋体" w:cs="宋体"/>
          <w:b/>
          <w:bCs w:val="0"/>
          <w:color w:val="000000"/>
          <w:sz w:val="36"/>
          <w:szCs w:val="36"/>
          <w:highlight w:val="none"/>
          <w:lang w:val="zh-CN" w:eastAsia="zh-CN"/>
        </w:rPr>
        <w:t>承</w:t>
      </w:r>
      <w:r>
        <w:rPr>
          <w:rFonts w:hint="eastAsia" w:ascii="宋体" w:hAnsi="宋体" w:eastAsia="宋体" w:cs="宋体"/>
          <w:b/>
          <w:bCs w:val="0"/>
          <w:color w:val="000000"/>
          <w:sz w:val="36"/>
          <w:szCs w:val="36"/>
          <w:highlight w:val="none"/>
          <w:lang w:val="en-US" w:eastAsia="zh-CN"/>
        </w:rPr>
        <w:t xml:space="preserve">  </w:t>
      </w:r>
      <w:r>
        <w:rPr>
          <w:rFonts w:hint="eastAsia" w:ascii="宋体" w:hAnsi="宋体" w:eastAsia="宋体" w:cs="宋体"/>
          <w:b/>
          <w:bCs w:val="0"/>
          <w:color w:val="000000"/>
          <w:sz w:val="36"/>
          <w:szCs w:val="36"/>
          <w:highlight w:val="none"/>
          <w:lang w:val="zh-CN" w:eastAsia="zh-CN"/>
        </w:rPr>
        <w:t>诺</w:t>
      </w:r>
      <w:r>
        <w:rPr>
          <w:rFonts w:hint="eastAsia" w:ascii="宋体" w:hAnsi="宋体" w:eastAsia="宋体" w:cs="宋体"/>
          <w:b/>
          <w:bCs w:val="0"/>
          <w:color w:val="000000"/>
          <w:sz w:val="36"/>
          <w:szCs w:val="36"/>
          <w:highlight w:val="none"/>
          <w:lang w:val="zh-CN"/>
        </w:rPr>
        <w:t xml:space="preserve">  </w:t>
      </w:r>
      <w:r>
        <w:rPr>
          <w:rFonts w:hint="eastAsia" w:ascii="宋体" w:hAnsi="宋体" w:eastAsia="宋体" w:cs="宋体"/>
          <w:b/>
          <w:bCs w:val="0"/>
          <w:color w:val="000000"/>
          <w:sz w:val="36"/>
          <w:szCs w:val="36"/>
          <w:highlight w:val="none"/>
        </w:rPr>
        <w:t xml:space="preserve"> </w:t>
      </w:r>
      <w:r>
        <w:rPr>
          <w:rFonts w:hint="eastAsia" w:ascii="宋体" w:hAnsi="宋体" w:eastAsia="宋体" w:cs="宋体"/>
          <w:b/>
          <w:bCs w:val="0"/>
          <w:color w:val="000000"/>
          <w:sz w:val="36"/>
          <w:szCs w:val="36"/>
          <w:highlight w:val="none"/>
          <w:lang w:val="zh-CN"/>
        </w:rPr>
        <w:t>函</w:t>
      </w:r>
    </w:p>
    <w:p>
      <w:pPr>
        <w:pStyle w:val="2"/>
        <w:pageBreakBefore w:val="0"/>
        <w:widowControl/>
        <w:kinsoku/>
        <w:wordWrap/>
        <w:overflowPunct/>
        <w:topLinePunct w:val="0"/>
        <w:autoSpaceDE/>
        <w:autoSpaceDN/>
        <w:bidi w:val="0"/>
        <w:adjustRightInd/>
        <w:spacing w:before="0" w:line="560" w:lineRule="exact"/>
        <w:jc w:val="both"/>
        <w:textAlignment w:val="auto"/>
        <w:rPr>
          <w:rFonts w:hint="eastAsia" w:ascii="宋体" w:hAnsi="宋体" w:eastAsia="宋体" w:cs="宋体"/>
          <w:b w:val="0"/>
          <w:bCs w:val="0"/>
          <w:color w:val="auto"/>
          <w:kern w:val="2"/>
          <w:sz w:val="28"/>
          <w:szCs w:val="28"/>
          <w:highlight w:val="none"/>
          <w:u w:val="none"/>
          <w:lang w:val="en-US" w:eastAsia="zh-CN" w:bidi="ar-SA"/>
        </w:rPr>
      </w:pPr>
      <w:r>
        <w:rPr>
          <w:rFonts w:hint="eastAsia" w:ascii="宋体" w:hAnsi="宋体" w:eastAsia="宋体" w:cs="宋体"/>
          <w:b w:val="0"/>
          <w:bCs w:val="0"/>
          <w:color w:val="auto"/>
          <w:kern w:val="2"/>
          <w:sz w:val="28"/>
          <w:szCs w:val="28"/>
          <w:highlight w:val="none"/>
          <w:u w:val="none"/>
          <w:lang w:val="en-US" w:eastAsia="zh-CN" w:bidi="ar-SA"/>
        </w:rPr>
        <w:t>致：白银盛银资产运营集团有限公司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针对此次响应的</w:t>
      </w:r>
      <w:r>
        <w:rPr>
          <w:rFonts w:hint="eastAsia" w:ascii="宋体" w:hAnsi="宋体" w:eastAsia="宋体" w:cs="宋体"/>
          <w:sz w:val="28"/>
          <w:szCs w:val="28"/>
          <w:highlight w:val="none"/>
          <w:lang w:val="en-US" w:eastAsia="zh-CN"/>
        </w:rPr>
        <w:t>白银盛银资产运营集团有限公司项目咨询服务单位入围项目，本公司在此郑重承诺：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560" w:firstLineChars="200"/>
        <w:jc w:val="both"/>
        <w:textAlignment w:val="auto"/>
        <w:outlineLvl w:val="9"/>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1.若我公司入围，我公司承诺在项目完成后（以取得行业主管部门批复为准），付款期限配合贵公司资金下达情况，给予</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u w:val="single"/>
          <w:lang w:val="en-US" w:eastAsia="zh-CN"/>
        </w:rPr>
        <w:t>（时间，最长时间为1年）</w:t>
      </w:r>
      <w:r>
        <w:rPr>
          <w:rFonts w:hint="eastAsia" w:ascii="宋体" w:hAnsi="宋体" w:eastAsia="宋体" w:cs="宋体"/>
          <w:sz w:val="28"/>
          <w:szCs w:val="28"/>
          <w:highlight w:val="none"/>
          <w:lang w:val="en-US" w:eastAsia="zh-CN"/>
        </w:rPr>
        <w:t>优惠期限，建立诚信长效机制。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2.若我公司入围，我公司将安排专人积极配合及响应项目进度要求并在规定时间内完成项目进度相关工作内容。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3.承诺优惠及响应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8"/>
          <w:szCs w:val="28"/>
          <w:highlight w:val="none"/>
          <w:u w:val="none"/>
          <w:lang w:val="en-US" w:eastAsia="zh-CN"/>
        </w:rPr>
        <w:t>承诺优惠及响应表</w:t>
      </w:r>
    </w:p>
    <w:tbl>
      <w:tblPr>
        <w:tblStyle w:val="5"/>
        <w:tblW w:w="8946"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691"/>
        <w:gridCol w:w="4988"/>
        <w:gridCol w:w="816"/>
        <w:gridCol w:w="110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83"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序号</w:t>
            </w:r>
          </w:p>
        </w:tc>
        <w:tc>
          <w:tcPr>
            <w:tcW w:w="691"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名称</w:t>
            </w:r>
          </w:p>
        </w:tc>
        <w:tc>
          <w:tcPr>
            <w:tcW w:w="4988"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承诺内容</w:t>
            </w:r>
          </w:p>
        </w:tc>
        <w:tc>
          <w:tcPr>
            <w:tcW w:w="816"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分值</w:t>
            </w:r>
          </w:p>
        </w:tc>
        <w:tc>
          <w:tcPr>
            <w:tcW w:w="110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选项（√或×）</w:t>
            </w:r>
          </w:p>
        </w:tc>
        <w:tc>
          <w:tcPr>
            <w:tcW w:w="86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Merge w:val="restart"/>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691" w:type="dxa"/>
            <w:vMerge w:val="restart"/>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承诺优惠</w:t>
            </w:r>
          </w:p>
        </w:tc>
        <w:tc>
          <w:tcPr>
            <w:tcW w:w="4988"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5万上浮率30%及以上按照5万以下成交</w:t>
            </w:r>
          </w:p>
        </w:tc>
        <w:tc>
          <w:tcPr>
            <w:tcW w:w="816"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5分</w:t>
            </w:r>
          </w:p>
        </w:tc>
        <w:tc>
          <w:tcPr>
            <w:tcW w:w="110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86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p>
        </w:tc>
        <w:tc>
          <w:tcPr>
            <w:tcW w:w="691"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p>
        </w:tc>
        <w:tc>
          <w:tcPr>
            <w:tcW w:w="4988"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100万上浮率30%及以上按照100万以下成交</w:t>
            </w:r>
          </w:p>
        </w:tc>
        <w:tc>
          <w:tcPr>
            <w:tcW w:w="816"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5分</w:t>
            </w:r>
          </w:p>
        </w:tc>
        <w:tc>
          <w:tcPr>
            <w:tcW w:w="110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86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691"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4988"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5万上浮率30%及以下按照5万以下成交</w:t>
            </w:r>
          </w:p>
        </w:tc>
        <w:tc>
          <w:tcPr>
            <w:tcW w:w="816"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2分</w:t>
            </w:r>
          </w:p>
        </w:tc>
        <w:tc>
          <w:tcPr>
            <w:tcW w:w="110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86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691"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4988"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100万上浮率30%及以下按照100万以下成交</w:t>
            </w:r>
          </w:p>
        </w:tc>
        <w:tc>
          <w:tcPr>
            <w:tcW w:w="816"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2分</w:t>
            </w:r>
          </w:p>
        </w:tc>
        <w:tc>
          <w:tcPr>
            <w:tcW w:w="110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86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691"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4988"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无此项内容</w:t>
            </w:r>
          </w:p>
        </w:tc>
        <w:tc>
          <w:tcPr>
            <w:tcW w:w="816"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0分</w:t>
            </w:r>
          </w:p>
        </w:tc>
        <w:tc>
          <w:tcPr>
            <w:tcW w:w="110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86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Merge w:val="restart"/>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2</w:t>
            </w:r>
          </w:p>
        </w:tc>
        <w:tc>
          <w:tcPr>
            <w:tcW w:w="691" w:type="dxa"/>
            <w:vMerge w:val="restart"/>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承诺响应</w:t>
            </w:r>
          </w:p>
        </w:tc>
        <w:tc>
          <w:tcPr>
            <w:tcW w:w="4988"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工作配合、工作响应速度能够及时响应项目进度要求并完成项目进度内的工作内容</w:t>
            </w:r>
          </w:p>
        </w:tc>
        <w:tc>
          <w:tcPr>
            <w:tcW w:w="816"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5分</w:t>
            </w:r>
          </w:p>
        </w:tc>
        <w:tc>
          <w:tcPr>
            <w:tcW w:w="110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86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691"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4988"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工作配合、工作响应速度不能及时响应项目进度要求并完成项目进度内的工作内容，得3分；</w:t>
            </w:r>
          </w:p>
        </w:tc>
        <w:tc>
          <w:tcPr>
            <w:tcW w:w="816"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3分</w:t>
            </w:r>
          </w:p>
        </w:tc>
        <w:tc>
          <w:tcPr>
            <w:tcW w:w="110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86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691" w:type="dxa"/>
            <w:vMerge w:val="continue"/>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4988"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无此项内容不得分。</w:t>
            </w:r>
          </w:p>
        </w:tc>
        <w:tc>
          <w:tcPr>
            <w:tcW w:w="816"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0分</w:t>
            </w:r>
          </w:p>
        </w:tc>
        <w:tc>
          <w:tcPr>
            <w:tcW w:w="110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c>
          <w:tcPr>
            <w:tcW w:w="864" w:type="dxa"/>
            <w:vAlign w:val="center"/>
          </w:tcPr>
          <w:p>
            <w:pPr>
              <w:pStyle w:val="2"/>
              <w:keepNext/>
              <w:keepLines/>
              <w:pageBreakBefore w:val="0"/>
              <w:widowControl/>
              <w:kinsoku/>
              <w:wordWrap/>
              <w:overflowPunct/>
              <w:topLinePunct w:val="0"/>
              <w:autoSpaceDE/>
              <w:autoSpaceDN/>
              <w:bidi w:val="0"/>
              <w:adjustRightInd/>
              <w:snapToGrid/>
              <w:spacing w:before="0" w:line="240" w:lineRule="auto"/>
              <w:jc w:val="center"/>
              <w:textAlignment w:val="auto"/>
              <w:rPr>
                <w:rFonts w:hint="default"/>
                <w:b w:val="0"/>
                <w:bCs w:val="0"/>
                <w:color w:val="auto"/>
                <w:sz w:val="24"/>
                <w:szCs w:val="24"/>
                <w:vertAlign w:val="baseline"/>
                <w:lang w:val="en-US" w:eastAsia="zh-CN"/>
              </w:rPr>
            </w:pPr>
          </w:p>
        </w:tc>
      </w:tr>
    </w:tbl>
    <w:p>
      <w:pPr>
        <w:rPr>
          <w:rFonts w:hint="default"/>
          <w:sz w:val="24"/>
          <w:szCs w:val="32"/>
          <w:lang w:val="en-US" w:eastAsia="zh-CN"/>
        </w:rPr>
      </w:pPr>
      <w:r>
        <w:rPr>
          <w:rFonts w:hint="eastAsia"/>
          <w:b/>
          <w:bCs/>
          <w:sz w:val="28"/>
          <w:szCs w:val="36"/>
          <w:lang w:val="en-US" w:eastAsia="zh-CN"/>
        </w:rPr>
        <w:t>备注：具体得分参见附件5：评分表。</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default" w:ascii="宋体" w:hAnsi="宋体" w:eastAsia="宋体" w:cs="宋体"/>
          <w:sz w:val="28"/>
          <w:szCs w:val="28"/>
          <w:highlight w:val="none"/>
          <w:lang w:val="en-US" w:eastAsia="zh-CN"/>
        </w:rPr>
      </w:pPr>
    </w:p>
    <w:p>
      <w:pPr>
        <w:adjustRightInd w:val="0"/>
        <w:snapToGrid w:val="0"/>
        <w:spacing w:line="480" w:lineRule="auto"/>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承诺</w:t>
      </w:r>
      <w:r>
        <w:rPr>
          <w:rFonts w:hint="eastAsia" w:ascii="宋体" w:hAnsi="宋体" w:eastAsia="宋体" w:cs="宋体"/>
          <w:sz w:val="28"/>
          <w:szCs w:val="28"/>
          <w:highlight w:val="none"/>
        </w:rPr>
        <w:t>单位：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920" w:firstLineChars="1400"/>
        <w:rPr>
          <w:rFonts w:hint="eastAsia" w:ascii="宋体" w:hAnsi="宋体" w:eastAsia="宋体" w:cs="宋体"/>
          <w:sz w:val="28"/>
          <w:szCs w:val="28"/>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highlight w:val="none"/>
          <w:lang w:eastAsia="zh-CN"/>
        </w:rPr>
        <w:t>承诺</w:t>
      </w:r>
      <w:r>
        <w:rPr>
          <w:rFonts w:hint="eastAsia" w:ascii="宋体" w:hAnsi="宋体" w:eastAsia="宋体" w:cs="宋体"/>
          <w:sz w:val="28"/>
          <w:szCs w:val="28"/>
          <w:highlight w:val="none"/>
        </w:rPr>
        <w:t xml:space="preserve">时间： </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日</w:t>
      </w: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附件5</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评  分  表</w:t>
      </w:r>
    </w:p>
    <w:p>
      <w:pPr>
        <w:pStyle w:val="2"/>
        <w:rPr>
          <w:rFonts w:hint="eastAsia"/>
          <w:lang w:val="en-US" w:eastAsia="zh-CN"/>
        </w:rPr>
      </w:pPr>
      <w:r>
        <w:rPr>
          <w:rFonts w:hint="eastAsia" w:ascii="宋体" w:hAnsi="宋体" w:eastAsia="宋体" w:cs="宋体"/>
          <w:b w:val="0"/>
          <w:bCs w:val="0"/>
          <w:color w:val="auto"/>
          <w:sz w:val="24"/>
          <w:szCs w:val="24"/>
          <w:lang w:val="en-US" w:eastAsia="zh-CN"/>
        </w:rPr>
        <w:t>项目名称：</w:t>
      </w:r>
      <w:r>
        <w:rPr>
          <w:rFonts w:hint="eastAsia" w:ascii="宋体" w:hAnsi="宋体" w:eastAsia="宋体" w:cs="宋体"/>
          <w:b w:val="0"/>
          <w:bCs w:val="0"/>
          <w:color w:val="auto"/>
          <w:sz w:val="24"/>
          <w:szCs w:val="24"/>
        </w:rPr>
        <w:t>白银盛银资产运营集团有限公司</w:t>
      </w:r>
      <w:r>
        <w:rPr>
          <w:rFonts w:hint="eastAsia" w:ascii="宋体" w:hAnsi="宋体" w:eastAsia="宋体" w:cs="宋体"/>
          <w:b w:val="0"/>
          <w:bCs w:val="0"/>
          <w:color w:val="auto"/>
          <w:sz w:val="24"/>
          <w:szCs w:val="24"/>
          <w:lang w:eastAsia="zh-CN"/>
        </w:rPr>
        <w:t>项目咨询</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单位</w:t>
      </w:r>
      <w:r>
        <w:rPr>
          <w:rFonts w:hint="eastAsia" w:ascii="宋体" w:hAnsi="宋体" w:eastAsia="宋体" w:cs="宋体"/>
          <w:b w:val="0"/>
          <w:bCs w:val="0"/>
          <w:color w:val="auto"/>
          <w:sz w:val="24"/>
          <w:szCs w:val="24"/>
          <w:lang w:val="en-US" w:eastAsia="zh-CN"/>
        </w:rPr>
        <w:t>入围项目</w:t>
      </w:r>
    </w:p>
    <w:p>
      <w:pPr>
        <w:pStyle w:val="2"/>
        <w:rPr>
          <w:rFonts w:hint="eastAsia"/>
          <w:lang w:val="en-US" w:eastAsia="zh-CN"/>
        </w:rPr>
      </w:pPr>
    </w:p>
    <w:tbl>
      <w:tblPr>
        <w:tblStyle w:val="5"/>
        <w:tblpPr w:leftFromText="180" w:rightFromText="180" w:vertAnchor="page" w:horzAnchor="page" w:tblpX="1638" w:tblpY="3415"/>
        <w:tblOverlap w:val="never"/>
        <w:tblW w:w="52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8" w:type="pc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4211" w:type="pc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88"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商务评审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（5分）</w:t>
            </w: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供应商</w:t>
            </w:r>
            <w:r>
              <w:rPr>
                <w:rFonts w:hint="eastAsia" w:ascii="宋体" w:hAnsi="宋体" w:eastAsia="宋体" w:cs="宋体"/>
                <w:sz w:val="24"/>
                <w:szCs w:val="24"/>
                <w:vertAlign w:val="baseline"/>
              </w:rPr>
              <w:t>业绩：承担过类似项目业绩的，</w:t>
            </w:r>
            <w:r>
              <w:rPr>
                <w:rFonts w:hint="eastAsia" w:ascii="宋体" w:hAnsi="宋体" w:eastAsia="宋体" w:cs="宋体"/>
                <w:color w:val="auto"/>
                <w:sz w:val="24"/>
                <w:szCs w:val="24"/>
                <w:vertAlign w:val="baseline"/>
              </w:rPr>
              <w:t>每提供一项得</w:t>
            </w:r>
            <w:r>
              <w:rPr>
                <w:rFonts w:hint="eastAsia" w:ascii="宋体" w:hAnsi="宋体" w:eastAsia="宋体" w:cs="宋体"/>
                <w:color w:val="auto"/>
                <w:sz w:val="24"/>
                <w:szCs w:val="24"/>
                <w:vertAlign w:val="baseline"/>
                <w:lang w:val="en-US" w:eastAsia="zh-CN"/>
              </w:rPr>
              <w:t>2.5</w:t>
            </w:r>
            <w:r>
              <w:rPr>
                <w:rFonts w:hint="eastAsia" w:ascii="宋体" w:hAnsi="宋体" w:eastAsia="宋体" w:cs="宋体"/>
                <w:color w:val="auto"/>
                <w:sz w:val="24"/>
                <w:szCs w:val="24"/>
                <w:vertAlign w:val="baseline"/>
              </w:rPr>
              <w:t>分，</w:t>
            </w:r>
            <w:r>
              <w:rPr>
                <w:rFonts w:hint="eastAsia" w:ascii="宋体" w:hAnsi="宋体" w:eastAsia="宋体" w:cs="宋体"/>
                <w:sz w:val="24"/>
                <w:szCs w:val="24"/>
                <w:vertAlign w:val="baseline"/>
              </w:rPr>
              <w:t>最高得</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。项目业绩以合同或中标通知书为准</w:t>
            </w:r>
            <w:r>
              <w:rPr>
                <w:rFonts w:hint="eastAsia" w:ascii="宋体" w:hAnsi="宋体" w:eastAsia="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788" w:type="pct"/>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技术评审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（55分）</w:t>
            </w: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分值：10分。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提供</w:t>
            </w:r>
            <w:r>
              <w:rPr>
                <w:rFonts w:hint="eastAsia" w:ascii="宋体" w:hAnsi="宋体" w:eastAsia="宋体" w:cs="宋体"/>
                <w:sz w:val="24"/>
                <w:szCs w:val="24"/>
                <w:vertAlign w:val="baseline"/>
                <w:lang w:eastAsia="zh-CN"/>
              </w:rPr>
              <w:t>项目咨询</w:t>
            </w:r>
            <w:r>
              <w:rPr>
                <w:rFonts w:hint="eastAsia" w:ascii="宋体" w:hAnsi="宋体" w:eastAsia="宋体" w:cs="宋体"/>
                <w:sz w:val="24"/>
                <w:szCs w:val="24"/>
                <w:vertAlign w:val="baseline"/>
              </w:rPr>
              <w:t>编制纲要</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纲要简明扼要、内容全面、重点突出、符合</w:t>
            </w:r>
            <w:r>
              <w:rPr>
                <w:rFonts w:hint="eastAsia" w:ascii="宋体" w:hAnsi="宋体" w:eastAsia="宋体" w:cs="宋体"/>
                <w:sz w:val="24"/>
                <w:szCs w:val="24"/>
                <w:vertAlign w:val="baseline"/>
                <w:lang w:eastAsia="zh-CN"/>
              </w:rPr>
              <w:t>采购</w:t>
            </w:r>
            <w:r>
              <w:rPr>
                <w:rFonts w:hint="eastAsia" w:ascii="宋体" w:hAnsi="宋体" w:eastAsia="宋体" w:cs="宋体"/>
                <w:sz w:val="24"/>
                <w:szCs w:val="24"/>
                <w:vertAlign w:val="baseline"/>
              </w:rPr>
              <w:t>要求者得1</w:t>
            </w:r>
            <w:r>
              <w:rPr>
                <w:rFonts w:hint="eastAsia" w:ascii="宋体" w:hAnsi="宋体" w:eastAsia="宋体" w:cs="宋体"/>
                <w:sz w:val="24"/>
                <w:szCs w:val="24"/>
                <w:vertAlign w:val="baseline"/>
                <w:lang w:val="en-US" w:eastAsia="zh-CN"/>
              </w:rPr>
              <w:t>0</w:t>
            </w:r>
            <w:r>
              <w:rPr>
                <w:rFonts w:hint="eastAsia" w:ascii="宋体" w:hAnsi="宋体" w:eastAsia="宋体" w:cs="宋体"/>
                <w:sz w:val="24"/>
                <w:szCs w:val="24"/>
                <w:vertAlign w:val="baseline"/>
              </w:rPr>
              <w:t>分，纲要内容片面单一者得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分，纲要内容含糊不清且缺失者得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分值：10分。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）项目咨询</w:t>
            </w:r>
            <w:r>
              <w:rPr>
                <w:rFonts w:hint="eastAsia" w:ascii="宋体" w:hAnsi="宋体" w:eastAsia="宋体" w:cs="宋体"/>
                <w:sz w:val="24"/>
                <w:szCs w:val="24"/>
                <w:vertAlign w:val="baseline"/>
              </w:rPr>
              <w:t>目的与任务以及重点和关键性技术问题，明确且有针对性得1</w:t>
            </w:r>
            <w:r>
              <w:rPr>
                <w:rFonts w:hint="eastAsia" w:ascii="宋体" w:hAnsi="宋体" w:eastAsia="宋体" w:cs="宋体"/>
                <w:sz w:val="24"/>
                <w:szCs w:val="24"/>
                <w:vertAlign w:val="baseline"/>
                <w:lang w:val="en-US" w:eastAsia="zh-CN"/>
              </w:rPr>
              <w:t>0</w:t>
            </w:r>
            <w:r>
              <w:rPr>
                <w:rFonts w:hint="eastAsia" w:ascii="宋体" w:hAnsi="宋体" w:eastAsia="宋体" w:cs="宋体"/>
                <w:sz w:val="24"/>
                <w:szCs w:val="24"/>
                <w:vertAlign w:val="baseline"/>
              </w:rPr>
              <w:t>分，基本明确且有针对性得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分，内容简单不完善者得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分值：8分。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质量保证体系完整及保证措施贴合实际、全面细致、内容详细者得</w:t>
            </w:r>
            <w:r>
              <w:rPr>
                <w:rFonts w:hint="eastAsia" w:ascii="宋体" w:hAnsi="宋体" w:eastAsia="宋体" w:cs="宋体"/>
                <w:sz w:val="24"/>
                <w:szCs w:val="24"/>
                <w:vertAlign w:val="baseline"/>
                <w:lang w:val="en-US" w:eastAsia="zh-CN"/>
              </w:rPr>
              <w:t>8</w:t>
            </w:r>
            <w:r>
              <w:rPr>
                <w:rFonts w:hint="eastAsia" w:ascii="宋体" w:hAnsi="宋体" w:eastAsia="宋体" w:cs="宋体"/>
                <w:sz w:val="24"/>
                <w:szCs w:val="24"/>
                <w:vertAlign w:val="baseline"/>
              </w:rPr>
              <w:t>分；措施贴合实际但不全面、内容简单者得</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分；措施脱离实际且不全面、内容简单者得</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分值：7分。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安全保证措施有力、制度健全，切实可行的得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分，安全保证措施有力，制度基本健全可行得5分，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分值：7分。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eastAsia="zh-CN"/>
              </w:rPr>
              <w:t>）项目咨询所采用的仪器、设备、技术先进，配备齐全，满足要求得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分，所采用的仪器、设备，配备齐全，基本满足要求，得</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eastAsia="zh-CN"/>
              </w:rPr>
              <w:t>分；响应文件内附设备相关证明资料，无此项内容不得分。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分值：6分。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）针对</w:t>
            </w:r>
            <w:r>
              <w:rPr>
                <w:rFonts w:hint="eastAsia" w:ascii="宋体" w:hAnsi="宋体" w:eastAsia="宋体" w:cs="宋体"/>
                <w:sz w:val="24"/>
                <w:szCs w:val="24"/>
                <w:vertAlign w:val="baseline"/>
                <w:lang w:val="en-US" w:eastAsia="zh-CN"/>
              </w:rPr>
              <w:t>项目咨询</w:t>
            </w:r>
            <w:r>
              <w:rPr>
                <w:rFonts w:hint="eastAsia" w:ascii="宋体" w:hAnsi="宋体" w:eastAsia="宋体" w:cs="宋体"/>
                <w:sz w:val="24"/>
                <w:szCs w:val="24"/>
                <w:vertAlign w:val="baseline"/>
                <w:lang w:eastAsia="zh-CN"/>
              </w:rPr>
              <w:t>提出新技术、新工艺合理化建议，合理可行得</w:t>
            </w: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分，基本合理得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分值：7分。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）售后服务方案的相关内容及后期指导保障措施合理、可行得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分，基本合理得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88" w:type="pct"/>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cyan"/>
                <w:vertAlign w:val="baseline"/>
                <w:lang w:val="en-US" w:eastAsia="zh-CN"/>
              </w:rPr>
            </w:pPr>
            <w:r>
              <w:rPr>
                <w:rFonts w:hint="eastAsia" w:ascii="宋体" w:hAnsi="宋体" w:eastAsia="宋体" w:cs="宋体"/>
                <w:sz w:val="24"/>
                <w:szCs w:val="24"/>
                <w:highlight w:val="none"/>
                <w:vertAlign w:val="baseline"/>
                <w:lang w:val="en-US" w:eastAsia="zh-CN"/>
              </w:rPr>
              <w:t>报价评分标准（最低评标价法，40分）</w:t>
            </w: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分值：25分。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u w:val="none"/>
                <w:lang w:val="en-US" w:eastAsia="zh-CN"/>
              </w:rPr>
              <w:t>首次报价得分＝（供应商报价/基准价）×价格权值×100（价格权值为0.25）。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cyan"/>
                <w:vertAlign w:val="baseline"/>
                <w:lang w:val="en-US" w:eastAsia="zh-CN"/>
              </w:rPr>
            </w:pPr>
          </w:p>
        </w:tc>
        <w:tc>
          <w:tcPr>
            <w:tcW w:w="4211" w:type="pct"/>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分值：10分，以下两项各5分。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承诺优惠：（1）成交金额5万以下（不含5万）直接签订合同。其中5万上浮率30%及以上按照5万以下成交，得5分；5万上浮率30%及以下按照5万以下成交，得2分；</w:t>
            </w:r>
            <w:r>
              <w:rPr>
                <w:rFonts w:hint="eastAsia" w:ascii="宋体" w:hAnsi="宋体" w:eastAsia="宋体" w:cs="宋体"/>
                <w:sz w:val="24"/>
                <w:szCs w:val="24"/>
                <w:vertAlign w:val="baseline"/>
                <w:lang w:eastAsia="zh-CN"/>
              </w:rPr>
              <w:t>无此项内容不得分。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（2）5万～100万（不含100万）采用阳光采购平台手续。其中100万上浮率30%及以上按照100万以下成交，得5分；100万上浮率30%及以下按照100万以下成交，得2分。</w:t>
            </w:r>
            <w:r>
              <w:rPr>
                <w:rFonts w:hint="eastAsia" w:ascii="宋体" w:hAnsi="宋体" w:eastAsia="宋体" w:cs="宋体"/>
                <w:sz w:val="24"/>
                <w:szCs w:val="24"/>
                <w:vertAlign w:val="baseline"/>
                <w:lang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cyan"/>
                <w:vertAlign w:val="baseline"/>
                <w:lang w:val="en-US" w:eastAsia="zh-CN"/>
              </w:rPr>
            </w:pPr>
          </w:p>
        </w:tc>
        <w:tc>
          <w:tcPr>
            <w:tcW w:w="4211" w:type="pct"/>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cyan"/>
                <w:u w:val="none"/>
                <w:lang w:val="en-US" w:eastAsia="zh-CN"/>
              </w:rPr>
            </w:pPr>
            <w:r>
              <w:rPr>
                <w:rFonts w:hint="eastAsia" w:ascii="宋体" w:hAnsi="宋体" w:eastAsia="宋体" w:cs="宋体"/>
                <w:sz w:val="24"/>
                <w:szCs w:val="24"/>
                <w:highlight w:val="none"/>
                <w:u w:val="none"/>
                <w:lang w:val="en-US" w:eastAsia="zh-CN"/>
              </w:rPr>
              <w:t>承诺响应：工作配合、工作响应速度能够及时响应项目进度要求并完成项目进度内的工作内容，得5分；工作配合、工作响应速度不能及时响应项目进度要求并完成项目进度内的工作内容，得3分；</w:t>
            </w:r>
            <w:r>
              <w:rPr>
                <w:rFonts w:hint="eastAsia" w:ascii="宋体" w:hAnsi="宋体" w:eastAsia="宋体" w:cs="宋体"/>
                <w:sz w:val="24"/>
                <w:szCs w:val="24"/>
                <w:vertAlign w:val="baseline"/>
                <w:lang w:eastAsia="zh-CN"/>
              </w:rPr>
              <w:t>无此项内容不得分。</w:t>
            </w:r>
          </w:p>
        </w:tc>
      </w:tr>
    </w:tbl>
    <w:p>
      <w:pPr>
        <w:pStyle w:val="2"/>
        <w:keepNext/>
        <w:keepLines/>
        <w:pageBreakBefore w:val="0"/>
        <w:widowControl/>
        <w:kinsoku/>
        <w:wordWrap/>
        <w:overflowPunct/>
        <w:topLinePunct w:val="0"/>
        <w:autoSpaceDE/>
        <w:autoSpaceDN/>
        <w:bidi w:val="0"/>
        <w:adjustRightInd/>
        <w:snapToGrid/>
        <w:spacing w:before="0" w:line="240" w:lineRule="auto"/>
        <w:textAlignment w:val="auto"/>
        <w:rPr>
          <w:rFonts w:hint="eastAsia" w:eastAsia="宋体"/>
          <w:b w:val="0"/>
          <w:bCs w:val="0"/>
          <w:color w:val="auto"/>
          <w:lang w:val="en-US" w:eastAsia="zh-CN"/>
        </w:rPr>
      </w:pPr>
      <w:r>
        <w:rPr>
          <w:rFonts w:hint="eastAsia" w:eastAsia="宋体"/>
          <w:b w:val="0"/>
          <w:bCs w:val="0"/>
          <w:color w:val="auto"/>
          <w:lang w:val="en-US" w:eastAsia="zh-CN"/>
        </w:rPr>
        <w:t>备注：本次采购流程、评分办法、采购结果仅限本公司内部使用。</w:t>
      </w: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WFmNGVkNmM2MjRhNGJmZTA2YjJjOWU1ZjUyMWEifQ=="/>
  </w:docVars>
  <w:rsids>
    <w:rsidRoot w:val="42841496"/>
    <w:rsid w:val="11C530C8"/>
    <w:rsid w:val="4284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jc w:val="center"/>
      <w:outlineLvl w:val="0"/>
    </w:pPr>
    <w:rPr>
      <w:rFonts w:ascii="宋体" w:hAnsi="宋体"/>
      <w:b/>
      <w:bCs/>
      <w:kern w:val="44"/>
      <w:sz w:val="32"/>
      <w:szCs w:val="32"/>
      <w:lang w:val="zh-CN" w:eastAsia="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0"/>
    <w:pPr>
      <w:keepNext/>
      <w:keepLines/>
      <w:widowControl/>
      <w:spacing w:before="480" w:line="276" w:lineRule="auto"/>
      <w:jc w:val="left"/>
      <w:outlineLvl w:val="9"/>
    </w:pPr>
    <w:rPr>
      <w:rFonts w:ascii="Cambria" w:hAnsi="Cambria"/>
      <w:color w:val="365F91"/>
      <w:kern w:val="0"/>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2023-09-01T08:52:00Z</dcterms:created>
  <dc:creator>✨</dc:creator>
  <cp:lastModifiedBy>✨</cp:lastModifiedBy>
  <dcterms:modified xsi:type="dcterms:W3CDTF">2023-09-01T08:53:23Z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72CED53E3DB54BB69EC54AF92931580D_11</vt:lpwstr>
  </property>
</Properties>
</file>